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5" w:type="dxa"/>
        <w:jc w:val="center"/>
        <w:tblCellSpacing w:w="0" w:type="dxa"/>
        <w:shd w:val="clear" w:color="auto" w:fill="FFFFFF"/>
        <w:tblCellMar>
          <w:left w:w="0" w:type="dxa"/>
          <w:right w:w="0" w:type="dxa"/>
        </w:tblCellMar>
        <w:tblLook w:val="04A0"/>
      </w:tblPr>
      <w:tblGrid>
        <w:gridCol w:w="13245"/>
      </w:tblGrid>
      <w:tr w:rsidR="00E87D3B" w:rsidRPr="00E87D3B" w:rsidTr="00E87D3B">
        <w:trPr>
          <w:trHeight w:val="420"/>
          <w:tblCellSpacing w:w="0" w:type="dxa"/>
          <w:jc w:val="center"/>
        </w:trPr>
        <w:tc>
          <w:tcPr>
            <w:tcW w:w="0" w:type="auto"/>
            <w:shd w:val="clear" w:color="auto" w:fill="FFFFFF"/>
            <w:vAlign w:val="center"/>
            <w:hideMark/>
          </w:tcPr>
          <w:p w:rsidR="00E87D3B" w:rsidRPr="00E87D3B" w:rsidRDefault="00E87D3B" w:rsidP="00E87D3B">
            <w:pPr>
              <w:adjustRightInd/>
              <w:snapToGrid/>
              <w:spacing w:after="0" w:line="420" w:lineRule="atLeast"/>
              <w:jc w:val="center"/>
              <w:rPr>
                <w:rFonts w:ascii="微软雅黑" w:hAnsi="微软雅黑" w:cs="宋体"/>
                <w:b/>
                <w:bCs/>
                <w:color w:val="317700"/>
                <w:sz w:val="27"/>
                <w:szCs w:val="27"/>
              </w:rPr>
            </w:pPr>
            <w:r w:rsidRPr="00E87D3B">
              <w:rPr>
                <w:rFonts w:ascii="微软雅黑" w:hAnsi="微软雅黑" w:cs="宋体" w:hint="eastAsia"/>
                <w:b/>
                <w:bCs/>
                <w:color w:val="317700"/>
                <w:sz w:val="27"/>
                <w:szCs w:val="27"/>
              </w:rPr>
              <w:t>农业农村部 财政部关于做好2021年农业生产发展等项目实施工作的通知</w:t>
            </w:r>
          </w:p>
        </w:tc>
      </w:tr>
      <w:tr w:rsidR="00E87D3B" w:rsidRPr="00E87D3B" w:rsidTr="00E87D3B">
        <w:trPr>
          <w:trHeight w:val="630"/>
          <w:tblCellSpacing w:w="0" w:type="dxa"/>
          <w:jc w:val="center"/>
        </w:trPr>
        <w:tc>
          <w:tcPr>
            <w:tcW w:w="0" w:type="auto"/>
            <w:shd w:val="clear" w:color="auto" w:fill="FFFFFF"/>
            <w:vAlign w:val="center"/>
            <w:hideMark/>
          </w:tcPr>
          <w:p w:rsidR="00E87D3B" w:rsidRPr="00E87D3B" w:rsidRDefault="00E87D3B" w:rsidP="00E87D3B">
            <w:pPr>
              <w:adjustRightInd/>
              <w:snapToGrid/>
              <w:spacing w:after="0" w:line="240" w:lineRule="atLeast"/>
              <w:jc w:val="center"/>
              <w:rPr>
                <w:rFonts w:ascii="微软雅黑" w:hAnsi="微软雅黑" w:cs="宋体"/>
                <w:color w:val="317700"/>
                <w:sz w:val="18"/>
                <w:szCs w:val="18"/>
              </w:rPr>
            </w:pPr>
            <w:r w:rsidRPr="00E87D3B">
              <w:rPr>
                <w:rFonts w:ascii="微软雅黑" w:hAnsi="微软雅黑" w:cs="宋体" w:hint="eastAsia"/>
                <w:color w:val="317700"/>
                <w:sz w:val="18"/>
                <w:szCs w:val="18"/>
              </w:rPr>
              <w:t>农计财发〔2021〕8号</w:t>
            </w:r>
          </w:p>
        </w:tc>
      </w:tr>
    </w:tbl>
    <w:p w:rsidR="00E87D3B" w:rsidRDefault="00E87D3B" w:rsidP="00E87D3B">
      <w:pPr>
        <w:pStyle w:val="a3"/>
        <w:shd w:val="clear" w:color="auto" w:fill="FFFFFF"/>
        <w:ind w:firstLine="480"/>
        <w:rPr>
          <w:rFonts w:ascii="微软雅黑" w:eastAsia="微软雅黑" w:hAnsi="微软雅黑"/>
          <w:color w:val="000000"/>
          <w:sz w:val="21"/>
          <w:szCs w:val="21"/>
        </w:rPr>
      </w:pPr>
      <w:r>
        <w:rPr>
          <w:rFonts w:ascii="微软雅黑" w:eastAsia="微软雅黑" w:hAnsi="微软雅黑" w:hint="eastAsia"/>
          <w:color w:val="000000"/>
          <w:sz w:val="21"/>
          <w:szCs w:val="21"/>
        </w:rPr>
        <w:t>各省、自治区、直辖市及计划单列市农业农村（农牧）、畜牧兽医、渔业厅（局、委）、财政厅（局），新疆生产建设兵团农业农村局、财政局，北大荒农垦集团有限公司、广东农垦总局，农业农村部有关直属单位：</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为深入贯彻落实党的十九届五中全会以及中央经济工作会议、中央农村工作会议精神，按照中央1号文件部署要求，2021年中央财政继续安排农业生产发展资金、农业资源及生态保护补助资金、动物防疫等补助经费，支持深化农业供给侧结构性改革，全面推进乡村振兴。为指导各地做好项目实施工作，确保政策有效落实，现将有关事项通知如下。</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一、总体思路</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坚持以习近平新时代中国特色社会主义思想为指导，贯彻落实党中央、国务院关于“三农”工作重大决策部署，围绕“保供固安全、振兴畅循环”，聚焦提高粮食等重要农产品供给保障能力，紧紧抓住种子和耕地两个要害，促进巩固拓展脱贫攻坚成果同乡村振兴有效衔接，扎实推进重大政策改革完善，统筹安排增量、优化盘活存量，做到政策总体保持稳定、重点任务保障充分、重大试点落实有效，推动农业高质量发展。在政策安排中，突出三个导向：一是聚焦重点领域。着力支持提升粮食等重要农产品供给保障能力、强化现代农业基础支撑、深入推进农业绿色发展、推进乡村产业融合发展，加快补齐农业发展短板弱项。二是强化统筹整合。进一步优化资金任务安排，集中力量办大事，提高资金使用效益，形成政策合力、协同推进。三是创新投入方式。完善“大专项+任务清单”管理方式，强化以绩效评价结果运用为导向的项目和资金安排机制，促进强化投入力度、形成投入合力。</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二、重点任务</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支持脱贫地区乡村特色产业发展壮大。贯彻落实党中央、国务院关于实现巩固拓展脱贫攻坚成果同乡村振兴有效衔接的决策部署，重点支持脱贫地区发展壮大乡村特色产业，提高市场竞争力和抗风险能力。强化全产业链支持措施，提升完善产业发展支撑保障和设施条件，支持培育壮大新型经营主体，促进产业内生可持续发展。相关资金项目继续向脱贫县倾斜。</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保障粮食等重要农产品有效供给。深入实施“藏粮于地、藏粮于技”战略，加大粮食生产政策扶持力度，巩固南方双季稻面积，扩玉米、稳大豆，突出抓好农作物重大病虫害监测防控。紧紧抓住种子和耕地两个要害，强化种质资源保护利用，促进耕地地力保护与提升。保持生猪等畜禽生产平稳发展，强化重大动物疫病防控。发展优质饲草生产，加大牛羊生产支持力度。提升农产品质量安全水平，增加绿色优质农产品供给。</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三）加强农业现代化设施装备建设。完善优化农机购置补贴，加大对粮食生产薄弱环节、丘陵山区特色农业生产急需机具以及高端、复式、智能农机产品补贴力度。推广应用北斗导航智能终端。加快推进农产品产地冷藏保鲜设施建设，开展整县推进试点，促进解决鲜活农产品流通出村进城“最先一公里”问题。</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大力推动农业产业融合发展。统筹布局建设一批国家现代农业产业园、优势特色产业集群和农业产业强镇，加快推动品种培优、品质提升、品牌打造和标准化生产，整体提升产业链发展质量效益和竞争力。促进家庭农场和农民合作社高质量发展，培育高素质农民，健全农业社会化服务体系，扶持带动小农户发展。</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推进农业绿色发展。深化落实以绿色生态为导向的农业补贴制度改革，切实保护耕地、草原和水生生物资源。推进农业绿色发展体制机制创新。稳定实施耕地地力保护补贴政策。继续实施耕地轮作休耕。扩大东北黑土地保护性耕作实施面积，开展东北黑土地保护利用。强化农业生态环境治理，推进化肥农药减量增效、畜禽粪肥还田利用，发展绿色种养循环农业。</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三、强化政策落实与监督考核</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推进统筹整合。贯彻落实《国务院关于探索建立涉农资金统筹整合长效机制的意见》（国发〔2017〕54号）要求，进一步推进涉农资金统筹整合使用，落实和完善“大专项+任务清单”管理方式，切实提升政策的精准性、指向性和实效性。约束性任务补助资金不得统筹使用。各省（自治区、直辖市）可结合任务清单，在大专项内部因地制宜统筹安排指导性任务补助资金。脱贫县统筹整合使用涉农资金，要严格按照《关于继续支持脱贫县统筹整合使用财政涉农资金工作的通知》执行，并优先用于支持产业发展，促进产业提质增效，带动脱贫人口就业增收。鼓励各地按规定利用现有资金渠道，强化政策衔接配合，推动相关项目在实施过程中统筹整合。贯彻落实党中央、国务院决策部署，以及中央一号文件等有关要求，对农产品产地冷藏保鲜设施建设、高标准农田建设等，有关省份要按规定对中国融通农业发展集团统筹予以支持。</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细化实施方案。省级农业农村、财政部门要按要求抓紧组织编制省级实施方案，明确实施条件、补助对象、补助水平、实施要求和监管措施。要因地制宜研究确定补助方式，鼓励采取政府购买服务、先建后补、以奖代补等支持方式。各省（自治区、直辖市）在编制实施方案时，要加强与农业农村部、财政部沟通，于6月30日前正式印发并以省级农业农村、财政部门联合发文形式报农业农村部、财政部备案，将农业生产发展等项目实施方案和资金安排情况（包括安排脱贫县的项目和资金情况）按规定同步上传农业农村部农业转移支付项目管理系统。</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强化政策公开。省级农业农村、财政部门要及时将中央财政支农政策和省级实施方案向社会发布，并督促指导基层农业农村、财政部门按规定程序做好补助对象、资金安排等信息公开公示工作，广泛接受社会监督。要通过多种渠道方式宣传解读政策，使广</w:t>
      </w:r>
      <w:r>
        <w:rPr>
          <w:rFonts w:ascii="微软雅黑" w:eastAsia="微软雅黑" w:hAnsi="微软雅黑" w:hint="eastAsia"/>
          <w:color w:val="000000"/>
          <w:sz w:val="21"/>
          <w:szCs w:val="21"/>
        </w:rPr>
        <w:lastRenderedPageBreak/>
        <w:t>大农民群众、新型农业经营主体和基层干部准确理解掌握政策内容，积极营造有利于政策落实的良好氛围。</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严格全过程管控。地方各级农业农村、财政部门要建立项目执行定期调度督导机制，及时掌握项目执行和资金使用情况。省级农业农村、财政部门要加强日常监督管理，创新工作方式，及时妥善处理项目执行中的问题，重大事项要及时向农业农村部、财政部报告。各省（自治区、直辖市）自2021年7月起每季度通过农业农村部农业转移支付项目管理系统上报资金执行情况，2022年1月31日前报送项目实施总结报告，按要求报送有关基础数据。各省（自治区、直辖市）要确保各项数据的真实性、准确性和完整性，有关数据材料报送情况纳入相关资金的绩效评价范围。</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五）加强资金监管。各省（自治区、直辖市）财政部门、农业农村部门要认真落实财政部等七部门联合印发的《关于进一步加强惠民惠农财政补贴资金“一卡通”管理的指导意见》，切实加强惠民惠农财政补贴资金发放管理，及时向社会公开补贴政策清单，规范补贴资金代发金融机构管理，规范补贴资金发放流程，推动信息公开。省级财政、农业农村部门要切实加强资金使用监管，全面排查在政策制定、资金使用管理中存在的形式主义、官僚主义问题，切实发挥好财政资金使用效益、维护好农民利益。</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六）深化绩效管理。省级财政、农业农村部门要按照《农业相关转移支付资金绩效管理办法》，进一步建立健全本区域项目绩效评价机制，将政策目标实现情况、任务清单完成情况、资金使用管理情况等纳入指标体系，严格奖惩措施，全面评估、考核政策落实情况。农业农村部和财政部将采取绩效监控与抽查复核相结合的方式，重点评价资金安排规范性、资金执行、信息报送以及地方财政投入、社会资本投入等情况，并将组织对重点任务、重点地区进行绩效考评。加强对地方财政投入情况考核，并与资金安排相挂钩。</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附件：1.农业生产发展资金项目实施方案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2.农业资源及生态保护补助资金项目实施方案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3.动物防疫等补助经费项目实施方案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农业农村部   财政部</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2021年4月30日</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附件1</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农业生产发展资金项目实施方案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中央财政农业生产发展资金主要用于对农民直接补贴，以及支持农业绿色发展与技术服务、农业经营方式创新、农业产业发展等方面工作。</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一、稳定实施直接补贴政策</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稳定实施耕地地力保护补贴。按照“总体稳定、审慎探索、精准有效”的原则，认真执行《财政部、农业部关于全面推开农业“三项补贴”改革工作的通知》（财农〔2016〕26号）规定。同时，按照《财政部办公厅、农业农村部办公厅关于进一步做好耕地地力保护补贴工作的通知》（财办农〔2021〕11号）要求，探索耕地地力保护补贴发放与耕地地力保护行为相挂钩的有效机制，加大耕地使用情况的核实力度，做到享受补贴农民的耕地不撂荒、地力不下降，切实推动“藏粮于地”战略部署，遏制耕地“非农化”。加快消化补贴结转资金，以前年度结转资金要与当年预算资金统筹使用。充分运用现代化信息手段，推进农户基础身份信息、土地确权数据等信息共享，减轻基层工作负担，提升补贴发放的规范性、精准性和时效性。切实加强补贴资金监管，严防“跑冒滴漏”，对骗取、贪污、挤占、挪用或违规发放等行为，依法依规严肃处理。</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（二）启动实施新一轮农机购置补贴政策。按照《农业农村部办公厅 财政部办公厅关于印发〈2021—2023年农机购置补贴实施指导意见〉的通知》（农办计财〔2021〕8号）的部署要求，创新完善农机购置补贴政策实施，持续提升政策实施的精准化、规范化、便利化水平。一是突出稳产保供和自主创新。优先保障粮食等重要农产品生产、丘陵山区特色农业生产以及支持农业绿色发展和数字化发展所需机具的补贴需要。深化北斗系统在农业系统中的推广应用，将育秧、烘干、标准化猪舍、畜禽粪污资源化利用等成套设施装备纳入农机新产品补贴试点范围。二是科学测算确定补贴额。将粮食生产薄弱环节、丘陵山区特色农业生产急需的机具以及高端、复式、智能农机产品的补贴额测算比例提高至35%。降低轮式拖拉机等区域内保有量明显过多以及技术相对落后的补贴机具品目或档次补贴额，确保到2023年将其补贴额测算比例降低至15%及以下，并将部分低价值机具退出补贴范围。各地在中央财政农机购置补贴资金外，统筹地方财政资金用于叠加补贴的，要科学测算补贴标准，防止补贴额过高引发过量购买，影响政策普惠公平。不得使用其他中央财政资金用于农机购置累加补贴。三是着力提升服务效能。营造良好营商环境，保障市场主体合法权益。全面推行限时办理，将补贴申请受理与核验、补贴资金兑付的工作时限分别压缩至15个工作日以内。充分利用二维码和物联网等信息化手段，加快推进补贴全流程线上办理。四是坚持从严管理。强化对参与补贴政策实施的鉴定（检测）机构监管。健全省际联动处理和部门联合处理机制，对骗套补贴资金的产销企业实行罚款处理，有效维护政策实施良好秩序和补贴资金安全。</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二、持续推进农业绿色发展</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推进实施重点作物绿色高质高效行动。以巩固提升粮食等重要农产品供给保障能力为目标，聚焦稳口粮提品质、扩玉米稳大豆提单产、扩油料稳棉糖提产能以及推进“三品一标”增效益等重点任务，集成组装推广区域性、标准化高产高效技术模式。因地制宜推广测墒节灌、水肥一体化、集雨补灌、蓄水保墒等旱作节水农业技术，推广农作物病虫害绿色防控产品和技术，在更大规模、更高层次上提升优良食味稻米、优质专用小麦、高油高蛋白大豆、双低双高油菜等粮棉油糖果菜茶生产能力，促进稳产高产、提质增效，示范带动大面积区域性均衡发展。支持山西实施有机旱作农业示范，继续支持辽宁、福建等省份2020年启动的有机肥替代化肥试点县完成试点任务。</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实施农机深松整地。以提高土壤蓄水保墒能力为目标，支持适宜地区开展农机深松整地作业，促进耕地质量改善和农业可持续发展。深松整地作业一般要求达到25厘米以上。每亩作业补助原则上不超过30元，具体补助标准和作业周期由各地因地制宜确定。充分利用信息化监测手段保证深松作业质量，提高监管工作效率。</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深化基层农技推广体系改革。以国家现代农业科技示范展示基地和区域示范基地等为平台，示范推广重大引领性技术和农业主推技术。在山西、内蒙古等12个省份实施重大技术协同推广任务，熟化一批先进技术，组建技术团队开展试验示范和观摩活动，加快产学研推多方协作的技术集成创新推广。继续实施农技推广特聘计划，通过政府购买服务等方式，从乡土专家、新型农业经营主体、种养能手中招募特聘农技员。</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三、发展壮大乡村产业</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加快推进农业产业融合发展。新创建一批国家现代农业产业园、优势特色产业集群和农业产业强镇。立足优势和资源禀赋，瞄准农业全产业链开发，明确发展主导产业和优先顺序，构建以产业强镇为基础、产业园为引擎、产业集群为骨干，省县乡梯次布局、点线面协同推进的现代乡村产业体系，加快推动品种培优、品质提升、品牌打造和标准化生产，整体提升产业发展质量效益和竞争力。</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实施奶业振兴行动和畜禽健康养殖。一是实施奶业振兴行动。建设高产优质苜蓿示范基地，降低奶牛饲养成本，提高生鲜乳质量安全水平。二是实施粮改饲。以北方农牧交错带为重点，支持牛羊养殖场（户）和饲草专业化服务组织，收储青贮玉米、苜蓿、燕麦草等优质饲草。三是开展畜禽遗传资源保护和性能测定工作。支持符合条件的国家级畜禽遗传资源保种场、保护区和基因库开展畜禽遗传资源保护，支持符合条件的国家畜禽核心育种场、种公畜站、奶牛生产性能测定中心开展种畜禽和奶牛生产性能测定工作。四是实施肉牛肉羊增量提质行动。在河北、山西、内蒙古、辽宁、安徽、江西、湖北、湖南、广西、四川、贵州、云南、陕西、甘肃和宁夏15省（自治区），选择产业基础相对较好的牛（羊）养殖大县，支持开展基础母牛扩群提质和种草养牛养羊全产业链发展。五是实施良种补贴。在主要草原牧区省份对项目区内使用良种精液开展人工授精的肉牛养殖场</w:t>
      </w:r>
      <w:r>
        <w:rPr>
          <w:rFonts w:ascii="微软雅黑" w:eastAsia="微软雅黑" w:hAnsi="微软雅黑" w:hint="eastAsia"/>
          <w:color w:val="000000"/>
          <w:sz w:val="21"/>
          <w:szCs w:val="21"/>
        </w:rPr>
        <w:lastRenderedPageBreak/>
        <w:t>（小区、户），以及存栏能繁母羊30只以上、牦牛能繁母牛25头以上的养殖户进行适当补助，支持牧区畜牧良种推广。在生猪大县对使用良种猪精液开展人工授精的生猪养殖场（户）进行适当补助，加快生猪品种改良。六是实施蜂业质量提升行动。开展蜜蜂遗传资源保护利用、良种繁育推广、现代化养殖加工技术及设施设备推广应用、蜂产品质量管控体系建设，推动蜂业全产业链质量提升。</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推进地理标志农产品保护和发展。围绕产品特色化、身份标识化和全程数字化，加强地理标志农产品特色种质保存和特色品质保持，推动全产业链标准化全程质量控制，提升核心保护区生产及加工储运能力。挖掘农耕文化，推动绿色有机认证，加强宣传推介，培育区域特色品牌。利用现代信息技术，强化标志管理和产品追溯。</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四、大力培育新型农业经营主体</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（一）支持新型农业经营主体高质量发展。</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是加快推进农产品产地冷藏保鲜设施建设。聚焦鲜活农产品产地“最先一公里”，重点围绕蔬菜、水果，兼顾地方优势特色品种，支持新型农业经营主体等建设农产品产地冷藏保鲜设施。在实施区域上，在31个省（自治区、直辖市）、新疆生产建设兵团和广东省农垦总局、北大荒农垦集团、中国融通农业发展集团实施，可适当向鲜活农产品主产区、特色农产品优势区和832个脱贫县倾斜。同时，择优支持100个蔬菜、水果等产业重点县开展产地冷藏保鲜整县推进试点，支持广东省农垦总局、北大荒农垦集团、中国融通农业发展集团推进试点。在建设内容上，重点支持建设通风贮藏库、机械冷库、气调贮藏库，以及预冷设施和配套设施设备，具体由主体根据实际需要确定类型和建设规模。在实施主体上，依托县级以上示范家庭农场和农民合作社示范社（832个脱贫县可不受示范等级限制），已登记的农村集体经济组织，以及北大荒农垦集团有限公司、广东省农垦总局农场、中国融通农业发展集团有限公司实施。试点县可因地制宜鼓励农业龙头企业、农业产业化联合体，以及可有效实现联农带农、“农超对接”的相关市场主体，积极参与农产品产地冷藏保鲜设施建设。在补助标准上，按照不超过建设设施总造价的30%进行补贴，832个脱贫县放宽至40%，单个主体（不含农垦农场、中国融通农业发展集团）补贴规模最高不超过100万元，具体补贴标准由地方制定；对每个农产品产地冷藏保鲜整县推进试点县给予重点补奖。在操作方式上，采取“先建后补、以奖代补”的方式，各地利用农业农村部新型农业经营主体信息直报系统和农业农村部重点农产品信息平台农产品仓储保鲜冷链物流信息系统进行管理，实行建设申请、审核、公示到补助发放全过程线上管理。</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是支持新型农业经营主体提升技术应用和生产经营能力。支持县级以上农民合作社示范社（联合社）和示范家庭农场（脱贫地区适当放宽条件）改善生产条件，应用先进技术，建设清选包装、烘干等产地初加工设施，提升规模化、集约化、标准化、信息化生产能力。加大对种粮家庭农场和农民合作社的支持力度。鼓励各地通过政府购买服务方式，委托行业协会或联盟、专业机构、专业人才为农民合作社和家庭农场提供生产技术、产业</w:t>
      </w:r>
      <w:r>
        <w:rPr>
          <w:rFonts w:ascii="微软雅黑" w:eastAsia="微软雅黑" w:hAnsi="微软雅黑" w:hint="eastAsia"/>
          <w:color w:val="000000"/>
          <w:sz w:val="21"/>
          <w:szCs w:val="21"/>
        </w:rPr>
        <w:lastRenderedPageBreak/>
        <w:t>发展、财务管理、市场营销等服务。各地要充分发挥全国家庭农场名录系统作用，对纳入名录系统的优先予以支持。鼓励各地开展农民合作社质量提升整县推进，支持农民合作社开展社企对接，增强市场营销和品牌培育能力。鼓励有条件的地方依托龙头企业，带动农民合作社和家庭农场，形成农业产业化联合体。</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加快推进农业生产社会化服务。支持符合条件的农村集体经济组织、农民合作社、农业服务专业户和服务类企业面向小农户开展社会化服务，重点解决小农户在粮棉油糖等重要农产品生产中关键和薄弱环节的机械化、专业化服务需求。加大对南方早稻主产省、丘陵地区发展粮食生产等社会化服务支持力度。坚持市场化手段，通过以奖代补、作业补贴等多种方式，支持各类服务主体集中连片开展统防统治、代耕代种代收等机械化、专业化社会化服务。支持安装使用机械作业监测传感器和北斗导航终端的服务主体，集中连片开展农业生产社会化服务。各地要根据当地小农户和农业生产需求，因地制宜发展多种服务模式，提升农业社会化服务的市场化、专业化、规模化、信息化水平，推动服务型规模经营，加快转变农业生产方式和经营方式，引领小农户和现代农业有机衔接。</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实施高素质农民培育。重点面向从事适度规模经营的农民，实施新型农业经营服务主体能力提升、种养加能手技能、返乡下乡者创业、乡村治理及社会事业发展带头人和农村实用人才带头人示范等培训，加快培养懂技术、善经营、会管理的高素质农民。鼓励有经验、有条件的农业企业、家庭农场和农民合作社参与实习实训等培训工作。</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稳步扩大农业信贷担保规模。强化中央财政补奖政策性导向，提高中央财政补奖资金使用效益。加快推动农业信贷担保服务网络向市县延伸，逐步实现重点县网点和业务全覆盖。持续扩大在保贷款余额和在保项目数量，加强对农业信贷担保放大倍数的量化考核。加强农业信贷担保“双控”业务考核，完善省级农担公司“双控”业务具体范围，建立健全“双控”和政策性任务确认机制。保持对脱贫地区农业产业发展支持力度，继续实施优惠担保费率。督促指导省级农担公司加强风险防控体系建设，健全风险管理制度，提高风险识别与监控能力，完善多渠道分险机制，不断创新风险化解手段，切实守住风险底线。</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附件2  </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农业资源及生态保护补助资金项目实施方案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中央财政农业资源及生态保护补助资金主要用于耕地质量提升、渔业资源保护、草原保护利用补助奖励、农业废弃物资源化利用等方面的支出。</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一、支持耕地质量提升</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加强耕地保护与质量提升。一是开展化肥减量增效示范。在重点作物绿色高质高效行动县协同开展化肥减量增效示范，引导企业和社会化服务组织开展科学施肥技术服务，支持农户和新型农业经营主体应用化肥减量增效新技术新产品，着力解决化肥使用过量、利用率不高的突出问题。继续做好取土化验、田间试验、配方制定发布、测土配方施肥数据成果开发应用等测土配方施肥基础性工作。二是开展退化耕地治理。在耕地酸化、盐碱化较严重区域，集成推广施用土壤调理剂、绿肥还田、耕作压盐、增施有机肥等治理措施。继续做好耕地质量等级年度变更评价与补充耕地质量评定试点工作。三是加强生产障碍耕地治理。在西南、华南等地区，针对不同耕地生产障碍程度，结合作物品种、耕作习惯等，因地制宜采取品种替代、水肥调控、农业废弃物回收利用等环境友好型农业生产技术，克服农产品产地环境障碍，提升农产品质量安全水平。</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（二）统筹推进东北黑土地保护利用和保护性耕作。贯彻落实《东北黑土地保护规划纲要（2017—2030年）》，聚焦83个黑土地保护重点县，集中连片开展东北黑土地保</w:t>
      </w:r>
      <w:r>
        <w:rPr>
          <w:rFonts w:ascii="微软雅黑" w:eastAsia="微软雅黑" w:hAnsi="微软雅黑" w:hint="eastAsia"/>
          <w:color w:val="000000"/>
          <w:sz w:val="21"/>
          <w:szCs w:val="21"/>
        </w:rPr>
        <w:lastRenderedPageBreak/>
        <w:t>护利用，重点推广秸秆还田与“深翻+有机肥还田”等综合技术模式，推进黑土地核心区提质培肥集中连片示范。继续稳步实施东北黑土地保护性耕作行动计划，支持在适宜区域推广应用秸秆覆盖免（少）耕播种等关键技术，鼓励整乡整村整建制推进，使保护性耕作成为东北适宜区域主流耕作技术。</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推进耕地轮作休耕制度。立足资源禀赋、突出生态保护、实行综合治理，进一步探索科学有效轮作模式，重点在在东北地区推行大豆薯类—玉米、杂粮杂豆春小麦—玉米等轮作，在黄淮海地区推行玉米—大豆或花生—玉米等轮作，在长江流域推行稻油、稻稻油等轮作，既通过豆科作物轮作倒茬，发挥固氮作用，提升耕地质量，减少化肥使用量，又通过不同作物间轮作，降低病虫害发生，减少农药使用量，加快构建绿色种植制度，促进农业资源永续利用。同时，继续在河北地下水漏斗区、黑龙江三江平原井灌稻地下水超采区、新疆塔里木河流域地下水超采区实施休耕试点，休耕期间配套采取土壤改良、培肥地力、污染修复等措施，促进耕地质量提升。</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二、加强渔业资源养护</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开展长江流域重点水域禁捕。各有关省份要统筹用好过渡期补助资金，扎实做好长江流域重点水域禁捕工作。在各有关省份自查基础上，财政部会同农业农村部开展长江禁捕退捕财政补助资金监督检查，推动资金落实到位，安全规范有效使用。强化长江禁捕退捕资金落实情况定期调度，督促指导地方切实做好资金保障等相关工作，巩固长江禁捕退捕成果，确保“十年禁渔”有效实施。</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实施重点水域渔业增殖放流。在流域性大江大湖、界江界河、资源衰退严重海域等重点水域开展渔业增殖放流，适当增加长江流域珍贵、濒危水生生物放流数量。保障放流苗种质量安全，推进增殖放流工作科学有序开展。</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三、启动实施第三轮草原生态保护补助奖励政策</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启动实施第三轮草原生态保护补助奖励政策，扩大政策实施范围，将已明确承包权但未纳入第二轮补奖范围的草原面积纳入此轮补奖范围。各有关省份负责补奖政策的具体组织实施，要因地制宜细化方案，结合实际科学确定具体补奖标准和发放方式。实施“一揽子”政策的半农半牧区省份可支持推动生产转型，提高草原畜牧业现代化水平。</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四、强化农业废弃物资源化利用</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开展绿色种养循环农业试点。聚焦畜牧大省、粮食和蔬菜主产区、生态保护重点区域，优先在京津冀、长江经济带、粤港澳大湾区、黄河流域、东北黑土区、生物多样性保护重点地区等，选择基础条件好、地方政府积极性高的县（市、区），整县开展绿色种养循环农业试点，以县为单位构建粪肥还田组织运行模式，对提供粪污收集处理服务的</w:t>
      </w:r>
      <w:r>
        <w:rPr>
          <w:rFonts w:ascii="微软雅黑" w:eastAsia="微软雅黑" w:hAnsi="微软雅黑" w:hint="eastAsia"/>
          <w:color w:val="000000"/>
          <w:sz w:val="21"/>
          <w:szCs w:val="21"/>
        </w:rPr>
        <w:lastRenderedPageBreak/>
        <w:t>企业（不包括养殖企业）、合作社等主体和提供粪肥还田服务的社会化服务组织给予奖补支持，带动县域内粪污基本还田，推动化肥减量化，促进耕地质量提升和农业绿色发展。</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促进农作物秸秆综合利用。全面实施秸秆综合利用行动，实行整县集中推进。各地要结合实际，突出重点地区，坚持农用优先、多元利用的原则，培育壮大一批秸秆综合利用市场主体，激发秸秆还田、离田、加工利用等各环节市场主体活力，探索可推广、可持续的产业模式和秸秆综合利用稳定运行机制，打造一批产业化利用典型样板，积极推进全量利用县建设，稳步提高省域内秸秆综合利用能力。加强秸秆资源台账建设，完善监测评价体系。在东北地区重点聚焦耕地质量提升，促进秸秆还田增碳固碳。</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推广地膜回收利用。加快建立地膜使用和回收利用机制，继续在内蒙古、甘肃和新疆支持整县推进废旧地膜回收利用，鼓励其他地区自主开展探索，建立健全完善废旧地膜回收加工体系，推动建立经营主体上交、专业化组织回收、加工企业回收、以旧换新等多种方式的回收利用机制，并探索“谁生产、谁回收”的地膜生产者责任延伸制度。严格市场准入，禁止生产使用不达标地膜。支持有条件地区集中开展适宜作物全生物可降解地膜替代和新疆棉区机械化回收农膜。</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附件3</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动物防疫等补助经费项目实施方案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中央财政动物防疫等补助经费主要用于动物疫病强制免疫、强制扑杀、养殖环节无害化处理等三方面支出。具体实施要求继续按照《动物防疫等补助经费管理办法》、《农业部办公厅、财政部办公厅关于印发〈动物疫病防控财政支持政策实施指导意见〉的通知》和《农业农村部办公厅、财政部办公厅关于做好非洲猪瘟防控财政补助政策实施工作的通知》执行。</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一、强制免疫补助。主要用于开展口蹄疫、高致病性禽流感、H7N9流感、小反刍兽疫、布病、包虫病等动物疫病实施强制免疫和购买动物防疫服务等予以补助。大力推进强制免疫“先打后补”，2022年底前实现所有规模养殖场“先打后补”。各地要加强资金使用管理，提高免疫质量和政策成效。</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二、强制扑杀补助。主要用于国家在预防、控制和扑灭动物疫病过程中，对被依法强制扑杀动物的所有者给予补助。纳入强制扑杀中央财政补助范围的疫病种类包括非洲猪瘟、口蹄疫、高致病性禽流感、H7N9流感、小反刍兽疫、布病、结核病、包虫病、马鼻疽和马传贫等。</w:t>
      </w:r>
    </w:p>
    <w:p w:rsidR="00E87D3B" w:rsidRDefault="00E87D3B" w:rsidP="00E87D3B">
      <w:pPr>
        <w:pStyle w:val="a3"/>
        <w:shd w:val="clear" w:color="auto" w:fill="FFFFFF"/>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三、养殖环节无害化处理补助。主要用于对养殖环节病死猪无害化处理等方面，补助对象为承担无害化处理任务的实施者。各省（自治区、直辖市）落实《农业农村部、财政部关于进一步加强病死畜禽无害化处理工作的通知》（农牧发〔2020〕6号）要求，制定无害化处理补助标准并于2021年6月底前报送农业农村部、财政部备案。要统筹省市县资金安排，足额安排资金，加强监管，以适宜区域范围内统一收集、集中处理为重点，推动建立集中处理为主，自行分散处理为补充的处理体系，逐步提高专业无害化处理覆盖率。</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93121"/>
    <w:rsid w:val="00D31D50"/>
    <w:rsid w:val="00E87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D3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24461491">
      <w:bodyDiv w:val="1"/>
      <w:marLeft w:val="0"/>
      <w:marRight w:val="0"/>
      <w:marTop w:val="0"/>
      <w:marBottom w:val="0"/>
      <w:divBdr>
        <w:top w:val="none" w:sz="0" w:space="0" w:color="auto"/>
        <w:left w:val="none" w:sz="0" w:space="0" w:color="auto"/>
        <w:bottom w:val="none" w:sz="0" w:space="0" w:color="auto"/>
        <w:right w:val="none" w:sz="0" w:space="0" w:color="auto"/>
      </w:divBdr>
    </w:div>
    <w:div w:id="2006977431">
      <w:bodyDiv w:val="1"/>
      <w:marLeft w:val="0"/>
      <w:marRight w:val="0"/>
      <w:marTop w:val="0"/>
      <w:marBottom w:val="0"/>
      <w:divBdr>
        <w:top w:val="none" w:sz="0" w:space="0" w:color="auto"/>
        <w:left w:val="none" w:sz="0" w:space="0" w:color="auto"/>
        <w:bottom w:val="none" w:sz="0" w:space="0" w:color="auto"/>
        <w:right w:val="none" w:sz="0" w:space="0" w:color="auto"/>
      </w:divBdr>
      <w:divsChild>
        <w:div w:id="589240674">
          <w:marLeft w:val="0"/>
          <w:marRight w:val="0"/>
          <w:marTop w:val="0"/>
          <w:marBottom w:val="0"/>
          <w:divBdr>
            <w:top w:val="none" w:sz="0" w:space="0" w:color="auto"/>
            <w:left w:val="none" w:sz="0" w:space="0" w:color="auto"/>
            <w:bottom w:val="none" w:sz="0" w:space="0" w:color="auto"/>
            <w:right w:val="none" w:sz="0" w:space="0" w:color="auto"/>
          </w:divBdr>
        </w:div>
        <w:div w:id="109617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2021-10-21T09:13:00Z</dcterms:modified>
</cp:coreProperties>
</file>